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0F28E6CA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  <w:r w:rsidR="00C876B7">
        <w:rPr>
          <w:rFonts w:ascii="Verdana" w:hAnsi="Verdana"/>
          <w:b/>
          <w:bCs/>
          <w:sz w:val="18"/>
          <w:szCs w:val="18"/>
        </w:rPr>
        <w:t>sprzętu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6EC77E" w14:textId="3D31C093" w:rsidR="00D752C9" w:rsidRDefault="00C876B7" w:rsidP="001B38D6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>omp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infuzyjn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>strzykawkow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proofErr w:type="spellEnd"/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997C04"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48</w:t>
            </w:r>
            <w:r w:rsidR="002D3A35">
              <w:rPr>
                <w:rFonts w:ascii="Verdana" w:hAnsi="Verdana"/>
                <w:b/>
                <w:bCs/>
                <w:sz w:val="20"/>
                <w:szCs w:val="20"/>
              </w:rPr>
              <w:t xml:space="preserve"> szt.</w:t>
            </w:r>
          </w:p>
          <w:p w14:paraId="5B966384" w14:textId="45AC791B" w:rsidR="002D3A35" w:rsidRPr="00D752C9" w:rsidRDefault="002D3A35" w:rsidP="00997C04">
            <w:pPr>
              <w:pStyle w:val="Akapitzlist"/>
              <w:ind w:left="72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D3A3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(poniżej opisane wymagania dla 1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szt.)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583617F6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90E6B" w:rsidRPr="006B7F2A" w14:paraId="24A8F8D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090E6B" w:rsidRPr="00BF1DFA" w:rsidRDefault="00090E6B" w:rsidP="00090E6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CA" w14:textId="759D32B3" w:rsidR="00090E6B" w:rsidRPr="00090E6B" w:rsidRDefault="00C876B7" w:rsidP="00090E6B">
            <w:pPr>
              <w:rPr>
                <w:rFonts w:ascii="Verdana" w:hAnsi="Verdana"/>
                <w:sz w:val="18"/>
                <w:szCs w:val="18"/>
              </w:rPr>
            </w:pPr>
            <w:r w:rsidRPr="00C876B7">
              <w:rPr>
                <w:rFonts w:ascii="Verdana" w:hAnsi="Verdana"/>
                <w:sz w:val="18"/>
                <w:szCs w:val="18"/>
              </w:rPr>
              <w:t xml:space="preserve">Pompa </w:t>
            </w:r>
            <w:proofErr w:type="spellStart"/>
            <w:r w:rsidRPr="00C876B7">
              <w:rPr>
                <w:rFonts w:ascii="Verdana" w:hAnsi="Verdana"/>
                <w:sz w:val="18"/>
                <w:szCs w:val="18"/>
              </w:rPr>
              <w:t>strzykawkowa</w:t>
            </w:r>
            <w:proofErr w:type="spellEnd"/>
            <w:r w:rsidRPr="00C876B7">
              <w:rPr>
                <w:rFonts w:ascii="Verdana" w:hAnsi="Verdana"/>
                <w:sz w:val="18"/>
                <w:szCs w:val="18"/>
              </w:rPr>
              <w:t xml:space="preserve"> sterowana elektronicznie przeznaczona do stosowania u dorosłych, dzieci oraz noworodków w celu okresowego lub ciągłego podawania pozajelitowych i dojelitowych płynów klinicznie akceptowanymi drogami podania. Należą do nich droga dożylna, </w:t>
            </w:r>
            <w:proofErr w:type="spellStart"/>
            <w:r w:rsidRPr="00C876B7">
              <w:rPr>
                <w:rFonts w:ascii="Verdana" w:hAnsi="Verdana"/>
                <w:sz w:val="18"/>
                <w:szCs w:val="18"/>
              </w:rPr>
              <w:t>dotętnicowa</w:t>
            </w:r>
            <w:proofErr w:type="spellEnd"/>
            <w:r w:rsidRPr="00C876B7">
              <w:rPr>
                <w:rFonts w:ascii="Verdana" w:hAnsi="Verdana"/>
                <w:sz w:val="18"/>
                <w:szCs w:val="18"/>
              </w:rPr>
              <w:t>, podskórna, zewnątrzoponowa i dojelitowa.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19E819CA" w:rsidR="00090E6B" w:rsidRPr="00090E6B" w:rsidRDefault="00090E6B" w:rsidP="00090E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090E6B" w:rsidRPr="00BF1DFA" w:rsidRDefault="00090E6B" w:rsidP="00090E6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090E6B" w:rsidRPr="00BF1DFA" w:rsidRDefault="00090E6B" w:rsidP="00090E6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3786293D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Napięcie 11-16 V DC,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możliwość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zasilania przy użyciu zasilacza zewnętrznego niebędącego przedmiotem zamówienia lub opisanej poniżej Stacji Dokującej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7B1F252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1619DE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67F" w14:textId="3D5A97B8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Dokładność mechaniczna &lt;&lt;±0,5%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31867A8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54EE1BDC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D8E7788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B56" w14:textId="68EB39AD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Strzykawka mocowana od przodu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0850C02F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10743A7C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2198" w14:textId="52519AC5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Automatyczny napęd strzykawki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7985E" w14:textId="1C143F2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A49F7" w14:textId="62195C46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CC3B5DF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7001" w14:textId="5E2526E2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Opcjonalna możliwość podłączenia odłączalnego uchwytu do przenoszenia i mocowania pompy do rur i szyn medycznych pionowych i poziomych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9BF9" w14:textId="671940AE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49B39" w14:textId="1B7343D9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7E7DAE7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238" w14:textId="16455A79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Zabezpieczenie przed swobodnym przepływem, niezależnie od położenia głowicy napędowej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45AB" w14:textId="54DDAF1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EB0F8" w14:textId="318A8368" w:rsidR="00C876B7" w:rsidRPr="000B6144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FC01224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58C7" w14:textId="0C7C43E5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Pompa skalibrowana do pracy ze strzykawkami o objętości 2/3, 5, 10, 20 i 50/60 ml różnych typów oraz różnych producentów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99EE4" w14:textId="11E97942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09139" w14:textId="015C7B96" w:rsidR="00C876B7" w:rsidRPr="000B6144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0D71A0A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F68" w14:textId="78EC60F0" w:rsidR="00C876B7" w:rsidRPr="00090E6B" w:rsidRDefault="00C876B7" w:rsidP="00DE59AD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Masa pompy max.1,5 kg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B7427" w14:textId="628DC0B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  <w:r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2C57033" w:rsidR="00C876B7" w:rsidRPr="000B6144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AB58BF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B9BA" w14:textId="4E6A635F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Wymiary max. 250 x 70 x 160 mm (szer. x wys. x gł.)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 xml:space="preserve">Pompa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zajmująca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 xml:space="preserve"> przestrzeń nie większą niż 3 000 cm3.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DD6E2" w14:textId="69AC167B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  <w:r w:rsidR="00DE59AD"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160A6" w14:textId="4BF16204" w:rsidR="00C876B7" w:rsidRPr="000B6144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428F1A7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A4BB" w14:textId="113C6738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Klawiatura nawigacyjna do wprowadzania parametrów i obsługi pompy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E6337" w14:textId="4365EB01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73780" w14:textId="5D8E25D3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80BF8F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B243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A841" w14:textId="43EFF733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łączenia 2 i 3 pomp w moduły bez użycia stacji dokującej.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99F74" w14:textId="18870FF8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6F6CF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762F4" w14:textId="0E454A88" w:rsidR="00C876B7" w:rsidRPr="00BF1DFA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AD1125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0AB0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05F6" w14:textId="30A90F63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Podświetlany ekran i przyciski z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możliwością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regulacji na 9 poziomach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708A4E" w14:textId="70A1745E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6A74D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D346D" w14:textId="238CA3D3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A4ECFC9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11C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DB3C" w14:textId="4FCD477D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Regulacja głośności w zakresie od 59dBA do 74dBA na 9 poziomach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B83B67" w14:textId="6D02DBA7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CBB782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4BCEF1" w14:textId="328AB7E2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E11D7E2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59DA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722E" w14:textId="0ACF5A71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Regulacja jasności i kontrastu ekranu na 9 poziomach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AF0603" w14:textId="0A9781E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865684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1CCFC" w14:textId="5B5584B8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2C8031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073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9C13" w14:textId="0F0EA5FF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wymiany akumulatora przez użytkownika bez użycia narzędzi.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86F9A" w14:textId="51FA7742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E3398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E4773" w14:textId="61DFC887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7D1AD0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85FD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2623" w14:textId="66B00C28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programowania parametrów infuzji w mg,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mcg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, U lub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mmol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>,   z uwzględnieniem lub nie masy ciała w odniesieniu do czasu ( np. mg/kg/min; mg/kg/h; mg/kg/24h)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D3BD6B" w14:textId="2ABA0B68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168E43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C5264" w14:textId="4710A7D9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2E8783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B723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6326" w14:textId="4AE9FEB2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Zakres prędkości infuzji podstawowej min. 0,1 do 999,9 ml/h  Prędkość infuzji w zakresie od 0,1 - 99,99ml/h programowana co 0,01ml/godz.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E0A22D" w14:textId="68AE893D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BA934D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B1F3F3" w14:textId="7B7C0B2F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E59AD" w:rsidRPr="006B7F2A" w14:paraId="0F96471D" w14:textId="77777777" w:rsidTr="00DE59AD">
        <w:trPr>
          <w:trHeight w:val="258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ACBE0" w14:textId="77777777" w:rsidR="00DE59AD" w:rsidRPr="00BF1DFA" w:rsidRDefault="00DE59AD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1EA4B4" w14:textId="564555B0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Prędkości bolusa min:</w:t>
            </w:r>
          </w:p>
          <w:p w14:paraId="12A170E6" w14:textId="77777777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3ml =1-150 ml/h</w:t>
            </w:r>
          </w:p>
          <w:p w14:paraId="5674E36C" w14:textId="77777777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5ml =1-300 ml/h</w:t>
            </w:r>
          </w:p>
          <w:p w14:paraId="5D458518" w14:textId="77777777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10ml =1-500 ml/h</w:t>
            </w:r>
          </w:p>
          <w:p w14:paraId="4F0FC1E9" w14:textId="77777777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20ml =1-800 ml/h</w:t>
            </w:r>
          </w:p>
          <w:p w14:paraId="2A8ED978" w14:textId="77777777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30ml =1-1200 ml/h</w:t>
            </w:r>
          </w:p>
          <w:p w14:paraId="5BAC0F8A" w14:textId="4539918E" w:rsidR="00DE59AD" w:rsidRPr="00090E6B" w:rsidRDefault="00DE59AD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dla strzykawki o poj.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>50/60ml =1-1800 ml/h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2DCFFB1" w14:textId="6038E63E" w:rsidR="00DE59AD" w:rsidRPr="00090E6B" w:rsidRDefault="00DE59AD" w:rsidP="00DE59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  <w:r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34A0BFC" w14:textId="77777777" w:rsidR="00DE59AD" w:rsidRPr="00BF1DFA" w:rsidRDefault="00DE59AD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ABA7E90" w14:textId="2F88BC00" w:rsidR="00DE59AD" w:rsidRPr="00677F36" w:rsidRDefault="00DE59AD" w:rsidP="00DE59A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9BB0973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A3BA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02EA" w14:textId="3A55AD9F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utworzenia Bazy Leków używanych w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infuzjoterapii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na terenie szpitala  z możliwością zastosowania oprogramowania do tworzenia Bibliotek Leków na poszczególne oddziały.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03BDDF" w14:textId="7533508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97FF61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D379B" w14:textId="6C4739CB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2899DC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34F4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5658" w14:textId="03F27572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skonfigurowania do min. 50 oddziałów w jednej pompie.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A468C7" w14:textId="6C80BDB8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54690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EA12B" w14:textId="0A2DD205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868B52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229CC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62A1" w14:textId="0A9681A3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Biblioteka Leków zawierająca min.</w:t>
            </w:r>
            <w:r w:rsidR="00FF2A4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1 000  leków z możliwością podzielenia na min. 30 grup.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AD6E" w14:textId="4BBA613D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5820DD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19834" w14:textId="25CAC87D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A9C45A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0D81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DD24" w14:textId="468934D3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Biblioteka leków zawierająca po 10 stężeń dla każdego leku.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8684C" w14:textId="3EF9F88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60A9E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23587" w14:textId="56F95361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1513068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002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45BB" w14:textId="207927D4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Leki zawarte w Bibliotece Leków powiązane z parametrami infuzji (limity względne min-max;</w:t>
            </w:r>
            <w:r w:rsidR="00DE59A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limity bezwzględne min-max, parametry standardowe), możliwość wyświetlania naprzemiennego nazwy leku i/lub wybranych parametrów infuzji.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8D979" w14:textId="4EEEA53A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BB5D3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B2257" w14:textId="6C24C37B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1AD731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AAE9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B018" w14:textId="0FDB80ED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Automatyczne prowadzenie infuzji przy stopniowym wzroście i spadku prędkości. </w:t>
            </w:r>
            <w:r w:rsidRPr="00DE59AD">
              <w:rPr>
                <w:rFonts w:ascii="Verdana" w:hAnsi="Verdana"/>
                <w:sz w:val="18"/>
                <w:szCs w:val="18"/>
              </w:rPr>
              <w:lastRenderedPageBreak/>
              <w:t>Infuzja składa się z trzech faz: wzrostu, utrzymania i spadku.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86F5F" w14:textId="29322DAE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256383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673D75" w14:textId="335BB0CA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C7B15E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6F59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8950" w14:textId="48A91AF7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Automatyczne prowadzenie infuzji w trybie okresowym,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składającym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się z dwóch faz: bolusa i prędkości.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D0B60D" w14:textId="2FDD223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E4F174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FDC16" w14:textId="37E7F007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699773E3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6F90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DB61" w14:textId="285169EA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Automatyczne prowadzenie terapii dawka w czasie. Po wprowadzeniu parametrów dawki i czasu pompa automatycznie obliczy prędkość infuzji.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8D9A7" w14:textId="2EEB328B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2A519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E48A38" w14:textId="3EB58D4D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5120539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117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5C93" w14:textId="2BD4DEEE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Pompa wyposażona w tryb 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przejęci</w:t>
            </w:r>
            <w:r w:rsidRPr="00DE59AD">
              <w:rPr>
                <w:rFonts w:ascii="Verdana" w:hAnsi="Verdana"/>
                <w:sz w:val="18"/>
                <w:szCs w:val="18"/>
              </w:rPr>
              <w:t>.  Automatyczne przejmowanie infuzji przez kolejną pompę natychmiast po zakończeniu infuzji w poprzedniej 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D5326B" w14:textId="0C27B4AD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FC037F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1EE3B1" w14:textId="5A6A9BE7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DB839CA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AA5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93FD" w14:textId="3193CB93" w:rsidR="00C876B7" w:rsidRPr="00090E6B" w:rsidRDefault="00C876B7" w:rsidP="00DE59AD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Podjęcie infuzji przez  pompę przejmującą bez konieczności naciskania przycisku START ani jakiegokolwiek innego.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A1639" w14:textId="61E1330F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33CD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228795" w14:textId="6484F382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A39F07E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89C4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DFEB" w14:textId="0DF59501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Przekazywanie parametrów infuzji pomiędzy pompami następuje automatycznie.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8531A8" w14:textId="5B8A917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EDA76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9FD84E" w14:textId="5B7EB5D7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7B4476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3320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1DED" w14:textId="412ABB81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Pompy podczas pracy w trybie przejęcia są czytelnie opisane symbolami jednoznacznie wskazującymi która pompa prowadzi infuzję a która oczekuje na podjęcie pracy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7FBFD" w14:textId="39CF9179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B1284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24A97" w14:textId="5C9B0F79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0988C0B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A9C3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7848" w14:textId="49FD17F4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Programowanie pracy w trybie przejęcie odbywa się z pozycji klawiatury pompy, wykluczając ryzyko pomyłki zaprogramowania niewłaściwej pompy.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741ED9" w14:textId="7CD3C76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0499F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5039F" w14:textId="19C2ED9D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9335F7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792F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C0E3" w14:textId="1B83F08E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rozszerzenia  oprogramowania o tryb  TCI  (ang. Target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Controlled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Infusion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>)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9A2E0" w14:textId="30794D0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EA401F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AA972" w14:textId="07979E08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CCE307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6FE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1E02" w14:textId="2FB045E3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Tryb TCI z modelami farmakokinetycznymi dla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Propofolu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Remifentanyli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i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Sufentanylu</w:t>
            </w:r>
            <w:proofErr w:type="spellEnd"/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5D69E" w14:textId="4456BBCB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74577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10A672" w14:textId="1D3559AA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B836BA8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99F1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6ABF" w14:textId="72C37860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zastosowania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Propofolu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różnych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roducentów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w stężeniu 0,5%, 1% i 2%.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E0412" w14:textId="5CEEF5CF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0EE27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36E83" w14:textId="2E634598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AAC1D07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99E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13DF" w14:textId="7E59414A" w:rsidR="00C876B7" w:rsidRPr="00090E6B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Protokół podawania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Propofolu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, model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Marsch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oraz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Schnider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(do wyboru)</w:t>
            </w:r>
            <w:r w:rsidR="00DE59AD"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3853DD" w14:textId="6FF1505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616E2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8AE87" w14:textId="79FB0CB6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F9D535C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94E0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0FE4" w14:textId="65D835BD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zastosowania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Remifentanylu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różnych producentów w stężeniu 2% i 5%.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B598B6" w14:textId="5F85FE92" w:rsidR="00C876B7" w:rsidRPr="00090E6B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053C2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A2AEC" w14:textId="11A8F54C" w:rsidR="00C876B7" w:rsidRPr="00677F36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076870A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47B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2D44" w14:textId="32EF4AFD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zastosowania </w:t>
            </w:r>
            <w:proofErr w:type="spellStart"/>
            <w:r w:rsidRPr="00DE59AD">
              <w:rPr>
                <w:rFonts w:ascii="Verdana" w:hAnsi="Verdana"/>
                <w:sz w:val="18"/>
                <w:szCs w:val="18"/>
              </w:rPr>
              <w:t>Sufentanylu</w:t>
            </w:r>
            <w:proofErr w:type="spellEnd"/>
            <w:r w:rsidRPr="00DE59AD">
              <w:rPr>
                <w:rFonts w:ascii="Verdana" w:hAnsi="Verdana"/>
                <w:sz w:val="18"/>
                <w:szCs w:val="18"/>
              </w:rPr>
              <w:t xml:space="preserve"> różnych producentów w stężeniu 0,5% i 5%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A7838" w14:textId="6A0649B5" w:rsidR="00C876B7" w:rsidRPr="00090E6B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62F98C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C5DC8" w14:textId="451F549A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1241995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AE8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DBF2" w14:textId="64F7820F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podania dodatkowego bolusa w trakcie trwania terapii TCI</w:t>
            </w:r>
            <w:r w:rsidR="00DE59AD">
              <w:rPr>
                <w:rFonts w:ascii="Verdana" w:hAnsi="Verdana"/>
                <w:sz w:val="18"/>
                <w:szCs w:val="18"/>
              </w:rPr>
              <w:t>.</w:t>
            </w:r>
            <w:r w:rsidRPr="00DE59AD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39766" w14:textId="7EC1C1A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23FEA4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ECCA93" w14:textId="6A2EF09E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33CD1CA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E2A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524" w14:textId="541B35E4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prowadzenia znieczulenia zewnątrzoponowego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B1B550" w14:textId="25D1CC38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8592BC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AF383" w14:textId="7C944C9E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D1C98EB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F011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2281" w14:textId="7E568455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opcjonalnego rozszerzenia oprogramowania trybu PCA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BA8375" w14:textId="604C4627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51FC1E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41D1DB" w14:textId="692C30A4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BDBFB5C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DCC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930A" w14:textId="71BA6B04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Zakres ciśnienia okluzji od 75 mmHg do 900mmHg, z wyborem na 9 poziomach.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8AAD2" w14:textId="5F52E1B0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DF901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66767A" w14:textId="09A8FC2D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EEBAD71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2DD83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C39B" w14:textId="71F4E4BE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rozszerzenia zakresu ciśnienia okluzji o trzy dodatkowe poziomy 10 mmHg, 30 mmHg, 50 mmHg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94E30E" w14:textId="32DEF8A8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D77072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018F85" w14:textId="2EF60240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7282051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96D3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B3AB" w14:textId="569A211B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opcjonalnego rozszerzenia oprogramowania o czujnik skoku/spadku ciśnienia w linii - (okluzji i  rozłączenia linii) bez konieczności stosowania specjalnych drenów. Dokładność czujnika skoku/spadku ciśnienia w linii możliwa do ustawienia na trzech poziomach 2mmHg, 8mmHg, 20mmHg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C750D" w14:textId="2EC1141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932399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C9A768" w14:textId="402C6ABB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1D240F6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CD6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6418" w14:textId="2DEB5AA3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Prezentacja ciągłego pomiaru ciśnienia w linii w formie graficznej.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D5CB33" w14:textId="3C7B4BAA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1659B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03AB5F" w14:textId="61127DC4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1B9EC66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68F5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6581" w14:textId="74F0D7F7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Funkcja programowania objętości do podania (VTBD) 0,1- 9999 ml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B2F248" w14:textId="1D6FAD3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5ADFE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0AA15" w14:textId="60549E66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2FC26D9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7A8F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9D17" w14:textId="5C319368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Funkcja programowania czasu infuzji przynajmniej od 1min – 99:59 godzin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8265E" w14:textId="294D8839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64A1AA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9AD578" w14:textId="1E6FAC08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7B7244B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5D08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A99C" w14:textId="145B83D6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Funkcja stand-by programowana w zakresie 1 min - 23:59 godz.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8BBE3B" w14:textId="3D2760A9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DC13D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B18E7" w14:textId="2AB3FE40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746CC663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5C246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CFEB" w14:textId="766D5A64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Pompa przygotowana do rozbudowy o moduł do bezprzewodowej komunikacji pomp z komputerem poza stacją dokującą.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75812" w14:textId="562DA255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A5B05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2964D" w14:textId="2FB982DA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06229EC0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C6C81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7EC9" w14:textId="679228BD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W przypadku niewłaściwej dawki 0.1 ml spowodowanej niepoprawnym działaniem urządzenia, pompa wyłączy się automatycznie.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BAA7A" w14:textId="7ADDB537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F7F2C5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29515A" w14:textId="267DFEE3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7F6395F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E7DD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D15E" w14:textId="6D31CA87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Alarmy niezbędne do bezpiecznego prowadzenia terapii.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D2F2" w14:textId="235A8A86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E378E9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A26B2B" w14:textId="6380FA90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3E5A745C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E54B3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2628" w14:textId="08B081B9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Menu w języku polskim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878D1" w14:textId="661955E1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4FAAD1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58DE70" w14:textId="75008455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BD8491A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F1AB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30D8" w14:textId="147B613B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Historia pracy obejmująca 3000 wpisów.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8AB4E6" w14:textId="2FE1AACA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A9AB9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E6367" w14:textId="7F61CF3C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219993FD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0AE2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94C" w14:textId="4FB25D42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Możliwość współpracy z czytnikiem kodów kreskowych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D989B6" w14:textId="6658386A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84E3C3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225EBE" w14:textId="61793204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43A39928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A7F59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5426" w14:textId="7572C9BD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Możliwość współpracy z systemem do kontrolowanej insulinoterapii będącym na wyposażeniu </w:t>
            </w:r>
            <w:r w:rsidRPr="00DE59AD">
              <w:rPr>
                <w:rFonts w:ascii="Verdana" w:hAnsi="Verdana"/>
                <w:sz w:val="18"/>
                <w:szCs w:val="18"/>
              </w:rPr>
              <w:t>Zamawiającego.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3CEEF9" w14:textId="0180B8CC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8B700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814E3E" w14:textId="423E0875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1E8F7433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6CEB4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8902" w14:textId="7C2D6B1A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>Zużycie energii - pobór mocy przez jedną pompę maksymalnie 8VA</w:t>
            </w:r>
            <w:r w:rsidRPr="00DE59AD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905B8" w14:textId="3989362D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CD1E37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0CEA91" w14:textId="4CEDA80D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876B7" w:rsidRPr="006B7F2A" w14:paraId="5A13C476" w14:textId="77777777" w:rsidTr="00BA474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4A87" w14:textId="77777777" w:rsidR="00C876B7" w:rsidRPr="00BF1DFA" w:rsidRDefault="00C876B7" w:rsidP="00C876B7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1155" w14:textId="5615025A" w:rsidR="00C876B7" w:rsidRPr="00DE59AD" w:rsidRDefault="00C876B7" w:rsidP="00C876B7">
            <w:pPr>
              <w:rPr>
                <w:rFonts w:ascii="Verdana" w:hAnsi="Verdana"/>
                <w:sz w:val="18"/>
                <w:szCs w:val="18"/>
              </w:rPr>
            </w:pPr>
            <w:r w:rsidRPr="00DE59AD">
              <w:rPr>
                <w:rFonts w:ascii="Verdana" w:hAnsi="Verdana"/>
                <w:sz w:val="18"/>
                <w:szCs w:val="18"/>
              </w:rPr>
              <w:t xml:space="preserve">Pompa kompatybilna ze stacją dokującą model Space będącą na wyposażeniu </w:t>
            </w:r>
            <w:r w:rsidRPr="00DE59AD">
              <w:rPr>
                <w:rFonts w:ascii="Verdana" w:hAnsi="Verdana"/>
                <w:sz w:val="18"/>
                <w:szCs w:val="18"/>
              </w:rPr>
              <w:t>Zamawiającego.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AC01F" w14:textId="2D76A0D4" w:rsidR="00C876B7" w:rsidRPr="00090E6B" w:rsidRDefault="00C876B7" w:rsidP="00C876B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90E6B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6941B9" w14:textId="77777777" w:rsidR="00C876B7" w:rsidRPr="00BF1DFA" w:rsidRDefault="00C876B7" w:rsidP="00C876B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B3597" w14:textId="3B04A082" w:rsidR="00C876B7" w:rsidRPr="002E1BBF" w:rsidRDefault="00C876B7" w:rsidP="00C876B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BF40E6" w:rsidRPr="002A3581" w14:paraId="14CB0E25" w14:textId="77777777" w:rsidTr="00852D7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14CBF1" w14:textId="67068779" w:rsidR="00BF40E6" w:rsidRDefault="00C876B7" w:rsidP="001B38D6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>omp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infuzyjn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objętościow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- 1</w:t>
            </w:r>
            <w:r w:rsidR="00090E6B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  <w:r w:rsidR="00BF40E6" w:rsidRPr="00BF40E6">
              <w:rPr>
                <w:rFonts w:ascii="Verdana" w:hAnsi="Verdana"/>
                <w:b/>
                <w:bCs/>
                <w:sz w:val="20"/>
                <w:szCs w:val="20"/>
              </w:rPr>
              <w:t xml:space="preserve"> szt</w:t>
            </w:r>
            <w:r w:rsidR="00BF40E6" w:rsidRPr="00013C93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  <w:p w14:paraId="10E0A29D" w14:textId="77777777" w:rsidR="00BF40E6" w:rsidRPr="00D752C9" w:rsidRDefault="00BF40E6" w:rsidP="00852D7F">
            <w:pPr>
              <w:pStyle w:val="Akapitzlist"/>
              <w:ind w:left="72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D3A3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(poniżej opisane wymagania dla 1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szt.)</w:t>
            </w:r>
          </w:p>
        </w:tc>
      </w:tr>
      <w:tr w:rsidR="00BF40E6" w:rsidRPr="002A3581" w14:paraId="35D94049" w14:textId="77777777" w:rsidTr="00852D7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CEA6241" w14:textId="77777777" w:rsidR="00BF40E6" w:rsidRPr="002A3581" w:rsidRDefault="00BF40E6" w:rsidP="00852D7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6C83606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CD58EC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F40E6" w:rsidRPr="002A3581" w14:paraId="42C3E5FF" w14:textId="77777777" w:rsidTr="00852D7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A83EF3B" w14:textId="77777777" w:rsidR="00BF40E6" w:rsidRPr="002A3581" w:rsidRDefault="00BF40E6" w:rsidP="00852D7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lastRenderedPageBreak/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27DABE8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A38DEB1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F40E6" w:rsidRPr="002A3581" w14:paraId="1BCCE4DE" w14:textId="77777777" w:rsidTr="00852D7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05B3C3A" w14:textId="77777777" w:rsidR="00BF40E6" w:rsidRPr="002A3581" w:rsidRDefault="00BF40E6" w:rsidP="00852D7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2800B" w14:textId="77777777" w:rsidR="00BF40E6" w:rsidRPr="002A3581" w:rsidRDefault="00BF40E6" w:rsidP="00852D7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971352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F40E6" w:rsidRPr="002A3581" w14:paraId="21313F63" w14:textId="77777777" w:rsidTr="00852D7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E74D558" w14:textId="77777777" w:rsidR="00BF40E6" w:rsidRPr="002A3581" w:rsidRDefault="00BF40E6" w:rsidP="00852D7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32954E5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AA8EB2" w14:textId="77777777" w:rsidR="00BF40E6" w:rsidRPr="002A3581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F40E6" w:rsidRPr="006B7F2A" w14:paraId="5A09DDA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597D4C" w14:textId="77777777" w:rsidR="00BF40E6" w:rsidRPr="00BF1DFA" w:rsidRDefault="00BF40E6" w:rsidP="00852D7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28BF9F" w14:textId="77777777" w:rsidR="00BF40E6" w:rsidRPr="00BF1DFA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4C3012" w14:textId="77777777" w:rsidR="00BF40E6" w:rsidRPr="00BF1DFA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DCFF61" w14:textId="77777777" w:rsidR="00BF40E6" w:rsidRPr="00BF1DFA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D3DE1BD" w14:textId="77777777" w:rsidR="00BF40E6" w:rsidRPr="00BF1DFA" w:rsidRDefault="00BF40E6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E17751" w:rsidRPr="006B7F2A" w14:paraId="1E3722E6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799B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4B10" w14:textId="5841EFC6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Pompa objętościowa sterowana  elektronicznie, umożliwiająca współpracę z systemem centralnego zasilania i zarządzania danymi, przeznaczona do stosowania u dorosłych, dzieci oraz noworodków w celu okresowego lub ciągłego  podawania leków zalecanych do terapii infuzyjnej, w skład których wchodzą m.in. koloidy i krystaloidy, krew i składniki krwi, płyny używane do całkowitego żywienia pozajelitowego (TPN); lipidy i płyny stosowane w żywieniu dojelitowym.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1983E5" w14:textId="152F2E9B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E5E2EE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F65F4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975F68C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2A28D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E2A0" w14:textId="74987384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Napięcie 11-16 V DC, 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możliwośc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 xml:space="preserve"> zasilania przy użyciu zasilacza zewnętrznego niebędącego przedmiotem zamówienia  lub opisanej poniżej Stacji Dokującej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CE114" w14:textId="461AFF19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384A6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B4999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138CC96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42E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B2C4" w14:textId="17948112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Dokładność mechaniczna &lt;&lt;±0,5%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E0DACD" w14:textId="22D1EC2C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36BCE4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96F8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C179D0F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6CF6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E460" w14:textId="111A3CA9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podaży preparatów krwiopochodnych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5AE389" w14:textId="3927F3CD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D7BC22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595B7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D10E38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0956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0D9F" w14:textId="23F10645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podaży żywienia dojelitowego, dostępne dreny do podaży żywienia dojelitowego ze złączem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ENFit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75D62" w14:textId="4CC0CD66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666386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04ED4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8D5D221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F815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F407" w14:textId="3C1ECB27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Mechanizm zabezpieczający  przed swobodnym  niekontrolowanym przepływem składający się z dwóch elementów – jeden w pompie jeden na drenie. Kolorystyczne kodowanie zacisków szczelinowych w zależności od stosowanej terapii.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B0856F" w14:textId="2EA37813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FBEBC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24109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79CDC90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3059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9E7" w14:textId="04646D31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wymiany akumulatora przez użytkownika bez użycia narzędzi.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10A1A0" w14:textId="154F255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153099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F61D46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BDE4F1B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70D4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59F2" w14:textId="75D91469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Masa pompy max.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17751">
              <w:rPr>
                <w:rFonts w:ascii="Verdana" w:hAnsi="Verdana"/>
                <w:sz w:val="18"/>
                <w:szCs w:val="18"/>
              </w:rPr>
              <w:t>1,5 kg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E6618" w14:textId="2B04E52F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  <w:r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FF5DA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83BE4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177F496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8EE9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3ACB" w14:textId="353A2FFF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Wymiary max. 214 x 68 x 124 mm (szer. x wys. x gł.)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Pompa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zajmujaca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 xml:space="preserve"> przestrzeń nie większą niż 2 500 cm</w:t>
            </w:r>
            <w:r w:rsidRPr="00E17751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CC2F6C" w14:textId="65BED52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  <w:r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442C7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6B5A66" w14:textId="760C7B16" w:rsidR="00E17751" w:rsidRPr="000B6144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05E6C85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A69D7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58A9" w14:textId="1F017784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łączenia 2 i 3 pomp w moduły bez użycia stacji dokującej.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53977" w14:textId="49CAA90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A5D8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B3C377" w14:textId="2A4BA56F" w:rsidR="00E17751" w:rsidRPr="000B6144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DE9D99D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5FE51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0E4B" w14:textId="1652B7A1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podłączenia odłączalnego uchwytu do przenoszenia i mocowania pompy do rur i szyn medycznych pionowych i poziomych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F314CF" w14:textId="241FFA6E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722C11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168AF" w14:textId="77777777" w:rsidR="00E17751" w:rsidRPr="000B6144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042795E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4649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48CA" w14:textId="378191DC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Podświetlany ekran i przyciski z </w:t>
            </w:r>
            <w:r w:rsidRPr="00E17751">
              <w:rPr>
                <w:rFonts w:ascii="Verdana" w:hAnsi="Verdana"/>
                <w:sz w:val="18"/>
                <w:szCs w:val="18"/>
              </w:rPr>
              <w:t>możliwością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regulacji na 9 poziomach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140A0" w14:textId="04A9849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2932C3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D2740" w14:textId="77777777" w:rsidR="00E17751" w:rsidRPr="000B6144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B9BB3F8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D5AC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C101" w14:textId="0FF5E543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Regulacja głośności w zakresie od 59dBA do 74dBA na 9 poziomach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1C3F60" w14:textId="06D5F2CA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B7EAA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B25CB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76DCEA9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4029D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95A8" w14:textId="02584905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Regulacja jasności i kontrastu ekranu na 9 poziomach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5F872" w14:textId="58CFD77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E8D98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EEA92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1FE95C6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0C43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129F" w14:textId="5CF6C7B5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programowania parametrów infuzji w mg,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mcg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 xml:space="preserve">, U lub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mmol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>,   z uwzględnieniem lub nie masy ciała w odniesieniu do czasu ( np. mg/kg/min; mg/kg/h; mg/kg/24h)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374502" w14:textId="1FDF383B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5F6977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5DF14A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5F590E4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AA5E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9F08" w14:textId="2756393C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Zakres prędkości infuzji min. 0,1 do 1 200 ml/h  Prędkość infuzji w zakresie od 0,1 - 99,99ml/h programowana co 0,01ml/godz.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89C94E" w14:textId="40532838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FC6F2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421A3E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C607C2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68E7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12E0" w14:textId="31DE8BAA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Funkcja programowania objętości do podania (VTBI) min. 9999 ml.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5F49E" w14:textId="513AD0E6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611A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160EF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E832BE3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6C685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AF90" w14:textId="41A0BC91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Zmiana szybkości infuzji bez konieczności przerywania wlewu.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DF996" w14:textId="62B10124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4CB3E6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E788B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49223A2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7709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40FD" w14:textId="4E6EEF46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Wypełnienie drenu z wyświetloną na ekranie prędkością i możliwością przerwania procesu.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833B4" w14:textId="3B859F84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C45BBA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FD885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297BFCB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E1A8D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5D07" w14:textId="10DE4027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utworzenia Bazy Leków używanych w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infuzjoterapii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 xml:space="preserve"> na terenie szpitala  z możliwością zastosowania oprogramowania do tworzenia Bibliotek Leków na poszczególne oddziały.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6AC29" w14:textId="6B1858B0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779D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69D185" w14:textId="0802CB69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66B1F4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BED6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0DC1" w14:textId="394FC4FA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skonfigurowania do 50 oddziałów w jednej pompie.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F78240" w14:textId="7E9B5D8E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CA29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791A4" w14:textId="0CD09B7E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F9B56CF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C242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2CC8" w14:textId="44447620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Biblioteka Leków zawierająca 1 200  leków z możliwością podzielenia na min. 30 grup.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79B4DE" w14:textId="5FC8FBAF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C9C09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FAFC" w14:textId="226D34F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C5A264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250E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6C77" w14:textId="11747229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Biblioteka leków zawierająca po 10 stężeń dla każdego leku.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DFE06" w14:textId="0D1D7DBC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D3AC1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7227E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30E59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DFBE0BF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4EC1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EC00" w14:textId="00C57DA4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Leki zawarte w Bibliotece Leków powiązane z parametrami infuzji (limity względne min-max;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limity bezwzględne min-max, parametry standardowe), możliwość wyświetlania naprzemiennego nazwy leku i/lub wybranych parametrów infuzji.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098416" w14:textId="61340714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D3AC1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1CE96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33E599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435D66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C1C7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A038" w14:textId="5D446B83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Automatyczne prowadzenie infuzji dołączanej (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piggyback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FE75A4" w14:textId="24007C89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D3AC1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F3D14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022DA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3BD17A2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9CD1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BE83" w14:textId="29616616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Automatyczne prowadzenie infuzji przy stopniowym wzroście i spadku prędkości. Infuzja składa się z trzech faz: wzrostu, utrzymania i spadku.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9C9776" w14:textId="08DAED6F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D3AC1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B5013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EBCA50" w14:textId="77777777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38F023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810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1DCB" w14:textId="2BD7D69F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Automatyczne prowadzenie infuzji w trybie okresowym, </w:t>
            </w:r>
            <w:r w:rsidRPr="00E17751">
              <w:rPr>
                <w:rFonts w:ascii="Verdana" w:hAnsi="Verdana"/>
                <w:sz w:val="18"/>
                <w:szCs w:val="18"/>
              </w:rPr>
              <w:t>składającym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się z dwóch faz: bolusa i prędkości.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DB616" w14:textId="303B4553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2C74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93C66" w14:textId="4B90C389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32B575D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3793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C756" w14:textId="06469811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Automatyczne prowadzenie infuzji w trybie programowanym, z możliwością zaprogramowania 12 faz. Każda faza o </w:t>
            </w:r>
            <w:r w:rsidRPr="00E17751">
              <w:rPr>
                <w:rFonts w:ascii="Verdana" w:hAnsi="Verdana"/>
                <w:sz w:val="18"/>
                <w:szCs w:val="18"/>
              </w:rPr>
              <w:lastRenderedPageBreak/>
              <w:t>określonych parametrach takich jak prędkość, czas, objętość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890C48" w14:textId="1F4CE7B0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17E57">
              <w:rPr>
                <w:rFonts w:ascii="Verdana" w:hAnsi="Verdan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A8D80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75903E" w14:textId="79322CFC" w:rsidR="00E17751" w:rsidRPr="00677F36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2FAF72C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37B5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0A67" w14:textId="0A649515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Automatyczne prowadzenie terapii dawka w czasie. Po wprowadzeniu parametrów dawki i czasu pompa automatycznie obliczy prędkość infuzji.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5B742" w14:textId="6352ED8D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D3AC1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B42E6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4ED92" w14:textId="5F075678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DFA02B8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95B2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B164" w14:textId="4FB7F622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Automatyczne przekazywanie danych o podawanym żywieniu (pozajelitowym i dojelitowym) do systemu kontrolowanej insulinoterapii. W bibliotece leków zawarte dane żywienia.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74077" w14:textId="3449B995" w:rsidR="00E17751" w:rsidRPr="001C677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0E7B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F6A3E3" w14:textId="0B615483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7DF145C7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4DCF3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04CF" w14:textId="5AE46013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Bolus o określonej  objętości . Bolus podawany na żądanie .Maksymalna objętość bolusa po alarmie okluzji ≤0,2ml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E4B51" w14:textId="374E84B2" w:rsidR="00E17751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C65A0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3870F" w14:textId="5A45734F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721829E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ABD21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8FA6" w14:textId="1B3EB97D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Funkcja KVO z możliwością  wyłączenia funkcji przez użytkownika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1CC63" w14:textId="12AA43A9" w:rsidR="00E17751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5AE030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74C55" w14:textId="28F254A8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BB40B0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7CD9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6D4C" w14:textId="5FB45BF8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Prezentacja ciągłego pomiaru ciśnienia w linii w formie graficznej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8DB5A2" w14:textId="53FA0369" w:rsidR="00E17751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7DC41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8A80F" w14:textId="3961C02A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9E3EE0B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3056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2F67" w14:textId="7393E3D2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Akustyczno-optyczny system alarmów i ostrzeżeń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3B6C4A" w14:textId="5F66A27C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B6460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A1B3F" w14:textId="7F7448CF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9CFDD1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F4BC8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3AC8" w14:textId="290C85DB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Menu w języku polskim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1ADFB3" w14:textId="2B1A1E45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04B616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CA3E96" w14:textId="2407F44A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73D90158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B8BB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B7C6" w14:textId="29B1E78B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Funkcja programowania czasu infuzji przynajmniej od 1min – 99:59 godzin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3CF89B" w14:textId="60338FB3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1A055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4B8278" w14:textId="351CB78B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99603A4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EB38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7A6A" w14:textId="2A41644F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opcjonalnego rozszerzenia oprogramowania pompy o tryb TCI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9E21C1" w14:textId="29BA3074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81BCA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F672D" w14:textId="66E1ADA0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047ABD6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58C8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C912" w14:textId="01C5F82A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opcjonalnego rozszerzenia oprogramowania pompy o tryb PCA i PCEA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69E44" w14:textId="7ACECB02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5271A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DF743A" w14:textId="6A4EFD8A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5C7082C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6D730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32CA" w14:textId="415B26AA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Zakres ciśnienia okluzji od 225 mmHg do 900mmHg, z wyborem na 9 poziomach.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B4DDE" w14:textId="73619409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A7196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7A4B8" w14:textId="0179159C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633ADC0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8A0D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FE4D" w14:textId="2513C053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rozszerzenia zakresu ciśnienia okluzji o trzy dodatkowe poziomy 50 mmHg, 100 mmHg, 150 mmHg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880D4" w14:textId="1D3EAA5C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9308F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CC2EFF" w14:textId="081A571B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A034424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AFCFF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A41F" w14:textId="1DA4C065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Komunikacja pomp umieszczonych w stacji dokującej/stanowisko pacjenta z komputerem poprzez Ethernet - złącze RJ45. Bez konieczności stosowania dodatkowych kabli np.RS232.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CF8E0" w14:textId="758C50F4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48B61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3F88E" w14:textId="230A944B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849A8CB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670A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B5B7" w14:textId="79434750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Pompa przygotowana do rozbudowy o moduł do bezprzewodowej komunikacji pomp z komputerem poza stacją dokującą.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DE11B" w14:textId="67E7D5D7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91A86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6E205" w14:textId="440375B8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03704985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4D4E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AA23" w14:textId="4081651A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W przypadku niewłaściwej dawki 1,4 ml spowodowanej niepoprawnym działaniem urządzenia, pompa wyłączy się automatycznie.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B3E3D9" w14:textId="53C7DACD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38BB39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346D0" w14:textId="3521C4D6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2D6745B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024B6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49B0" w14:textId="3F105FCD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Alarmy niezbędne do bezpiecznego prowadzenia terapii.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0AA2C" w14:textId="6B8921D4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AD2D8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88230" w14:textId="06E3A4ED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4079862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7203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9C68" w14:textId="72380EA4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Historia pracy obejmująca 3000 wpisów.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5307EA" w14:textId="663AC294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637672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3D679" w14:textId="7747A797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EAE099A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4A0FA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58D5" w14:textId="5BAC34C2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współpracy z czytnikiem kodów kreskowych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CBE31" w14:textId="12F5476A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948C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A2A2" w14:textId="66C17536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BDDB504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8C5A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4D6F" w14:textId="617B1313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współpracy z systemem do kontrolowanej insulinoterapii będącego na wyposażeniu Zamawiającego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07504" w14:textId="26BA924D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B5DE30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19B911" w14:textId="5E8B6D36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60E05332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00220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760" w14:textId="63E19E19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Zużycie energii - pobór mocy przez jedną pompę maksymalnie 8VA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CF4F17" w14:textId="7995B04D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  <w:r>
              <w:rPr>
                <w:rFonts w:ascii="Verdana" w:hAnsi="Verdana"/>
                <w:sz w:val="18"/>
                <w:szCs w:val="18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1A10E0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065463" w14:textId="0D5D0610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229BF204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57B1" w14:textId="77777777" w:rsidR="00E17751" w:rsidRPr="00BF1DFA" w:rsidRDefault="00E17751" w:rsidP="00E17751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DCDF" w14:textId="30FC8E08" w:rsidR="00E17751" w:rsidRPr="00E17751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Pompa kompatybilna ze stacją dokującą model Space będącą na wyposażeniu </w:t>
            </w:r>
            <w:r w:rsidRPr="00E17751">
              <w:rPr>
                <w:rFonts w:ascii="Verdana" w:hAnsi="Verdana"/>
                <w:sz w:val="18"/>
                <w:szCs w:val="18"/>
              </w:rPr>
              <w:t>Zamawiającego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D19FF" w14:textId="44BE5F0A" w:rsidR="00E17751" w:rsidRPr="00013C93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B3450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42B163" w14:textId="5650EA8F" w:rsidR="00E17751" w:rsidRPr="002E1BBF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77D39150" w14:textId="77777777" w:rsidR="001C3924" w:rsidRDefault="001C3924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C876B7" w:rsidRPr="002A3581" w14:paraId="5FE7CF6C" w14:textId="77777777" w:rsidTr="0054277B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75951" w14:textId="29797F19" w:rsidR="00C876B7" w:rsidRDefault="00C876B7" w:rsidP="0054277B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>tacj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dokując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Pr="00C876B7">
              <w:rPr>
                <w:rFonts w:ascii="Verdana" w:hAnsi="Verdana"/>
                <w:b/>
                <w:bCs/>
                <w:sz w:val="20"/>
                <w:szCs w:val="20"/>
              </w:rPr>
              <w:t xml:space="preserve"> na 4 pompy – 16 szt</w:t>
            </w:r>
            <w:r w:rsidRPr="00013C93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  <w:p w14:paraId="0CBA3DF6" w14:textId="77777777" w:rsidR="00C876B7" w:rsidRPr="00D752C9" w:rsidRDefault="00C876B7" w:rsidP="0054277B">
            <w:pPr>
              <w:pStyle w:val="Akapitzlist"/>
              <w:ind w:left="72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D3A3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(poniżej opisane wymagania dla 1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szt.)</w:t>
            </w:r>
          </w:p>
        </w:tc>
      </w:tr>
      <w:tr w:rsidR="00C876B7" w:rsidRPr="002A3581" w14:paraId="043B3A51" w14:textId="77777777" w:rsidTr="0054277B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0D3FE5" w14:textId="77777777" w:rsidR="00C876B7" w:rsidRPr="002A3581" w:rsidRDefault="00C876B7" w:rsidP="0054277B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6590FFB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C6D737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876B7" w:rsidRPr="002A3581" w14:paraId="70324AFC" w14:textId="77777777" w:rsidTr="0054277B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F38E707" w14:textId="77777777" w:rsidR="00C876B7" w:rsidRPr="002A3581" w:rsidRDefault="00C876B7" w:rsidP="0054277B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503DAD2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EE9E0E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876B7" w:rsidRPr="002A3581" w14:paraId="7679C8B3" w14:textId="77777777" w:rsidTr="0054277B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473A5D3" w14:textId="77777777" w:rsidR="00C876B7" w:rsidRPr="002A3581" w:rsidRDefault="00C876B7" w:rsidP="0054277B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AD684A" w14:textId="77777777" w:rsidR="00C876B7" w:rsidRPr="002A3581" w:rsidRDefault="00C876B7" w:rsidP="0054277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86DA83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876B7" w:rsidRPr="002A3581" w14:paraId="4C713599" w14:textId="77777777" w:rsidTr="0054277B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915778F" w14:textId="77777777" w:rsidR="00C876B7" w:rsidRPr="002A3581" w:rsidRDefault="00C876B7" w:rsidP="0054277B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987E99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3D584D" w14:textId="77777777" w:rsidR="00C876B7" w:rsidRPr="002A3581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876B7" w:rsidRPr="006B7F2A" w14:paraId="52658B6A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220E32" w14:textId="77777777" w:rsidR="00C876B7" w:rsidRPr="00BF1DFA" w:rsidRDefault="00C876B7" w:rsidP="0054277B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874D55" w14:textId="77777777" w:rsidR="00C876B7" w:rsidRPr="00BF1DFA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EA66C" w14:textId="77777777" w:rsidR="00C876B7" w:rsidRPr="00BF1DFA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33507C" w14:textId="77777777" w:rsidR="00C876B7" w:rsidRPr="00BF1DFA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6A350F4" w14:textId="77777777" w:rsidR="00C876B7" w:rsidRPr="00BF1DFA" w:rsidRDefault="00C876B7" w:rsidP="005427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E17751" w:rsidRPr="006B7F2A" w14:paraId="79789129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3521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01BE" w14:textId="4F7E5B3D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Stacja dokująca na minimum 4 pompy opisane powyżej która umożliwia mocowanie  na stojakach infuzyjnych i pionowych rurach, np. systemach podwieszanych, jak również do poziomych naściennych systemów prowadnic zgodnie z EN 1789 bez konieczności stosowania dodatkowych adapterów lub akcesoriów montażowych.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885D4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13C93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2EB83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21BDB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4ED039F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D71F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723D" w14:textId="1C02D3DF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System szybkiego mocowania pomp do stacji dokującej bez przerywania przepływu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D6DEB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6EAF7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DE23C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2C6E363C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ACDA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E29D" w14:textId="3386C3C4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dowolnej konfiguracji pomp </w:t>
            </w:r>
            <w:proofErr w:type="spellStart"/>
            <w:r w:rsidRPr="00E17751">
              <w:rPr>
                <w:rFonts w:ascii="Verdana" w:hAnsi="Verdana"/>
                <w:sz w:val="18"/>
                <w:szCs w:val="18"/>
              </w:rPr>
              <w:t>strzykawkowych</w:t>
            </w:r>
            <w:proofErr w:type="spellEnd"/>
            <w:r w:rsidRPr="00E17751">
              <w:rPr>
                <w:rFonts w:ascii="Verdana" w:hAnsi="Verdana"/>
                <w:sz w:val="18"/>
                <w:szCs w:val="18"/>
              </w:rPr>
              <w:t xml:space="preserve"> i objętościowych w stacji dokującej przy każdym stanowisku pacjenta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797C72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81255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D41674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2B0C1A09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36A53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B36A" w14:textId="5411010E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Mocowanie stacji dokującej do rury pionowej lub poziomej bez dodatkowego oprzyrządowania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E1775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9CB5D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1B912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CE50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150748FC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9DEB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0143" w14:textId="7C37DC31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rozbudowy stacji dokującej i przystosowanie do maximum 24 pomp na stanowisko.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F265B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2F41AE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79B22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1C98900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7B919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CDD9" w14:textId="2B626189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 xml:space="preserve">Możliwość współpracy z czytnikiem  kodów paskowych.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9C889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BF0D48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D5101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5C4F6BA0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9A595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2424" w14:textId="603B6497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Pokrywa stacji dokującej 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17751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17751">
              <w:rPr>
                <w:rFonts w:ascii="Verdana" w:hAnsi="Verdana"/>
                <w:sz w:val="18"/>
                <w:szCs w:val="18"/>
              </w:rPr>
              <w:t>szt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138D9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4E800D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3346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7751" w:rsidRPr="006B7F2A" w14:paraId="31870476" w14:textId="77777777" w:rsidTr="0054277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C924" w14:textId="77777777" w:rsidR="00E17751" w:rsidRPr="00BF1DFA" w:rsidRDefault="00E17751" w:rsidP="00E17751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591F" w14:textId="5B859DF9" w:rsidR="00E17751" w:rsidRPr="001C677F" w:rsidRDefault="00E17751" w:rsidP="00E17751">
            <w:pPr>
              <w:rPr>
                <w:rFonts w:ascii="Verdana" w:hAnsi="Verdana"/>
                <w:sz w:val="18"/>
                <w:szCs w:val="18"/>
              </w:rPr>
            </w:pPr>
            <w:r w:rsidRPr="00E17751">
              <w:rPr>
                <w:rFonts w:ascii="Verdana" w:hAnsi="Verdana"/>
                <w:sz w:val="18"/>
                <w:szCs w:val="18"/>
              </w:rPr>
              <w:t>Możliwość współpracy z systemem do kontrolowanej insulinoterapii będącego na wyposażeniu Zamawiającego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14DB98" w14:textId="77777777" w:rsidR="00E17751" w:rsidRPr="001C677F" w:rsidRDefault="00E17751" w:rsidP="00E17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708D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92E2F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DA45B" w14:textId="77777777" w:rsidR="00E17751" w:rsidRPr="00BF1DFA" w:rsidRDefault="00E17751" w:rsidP="00E1775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3537DA88" w14:textId="77777777" w:rsidR="00C876B7" w:rsidRDefault="00C876B7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4112"/>
        <w:gridCol w:w="1559"/>
        <w:gridCol w:w="2125"/>
        <w:gridCol w:w="1986"/>
      </w:tblGrid>
      <w:tr w:rsidR="00013C93" w:rsidRPr="007D1147" w14:paraId="7133468E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B748CC2" w14:textId="77777777" w:rsidR="00013C93" w:rsidRPr="00BF1DFA" w:rsidRDefault="00013C93" w:rsidP="00852D7F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48E503" w14:textId="33EF504C" w:rsidR="00013C93" w:rsidRPr="007E1232" w:rsidRDefault="00013C93" w:rsidP="00852D7F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 dla całego asortymentu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868BB8" w14:textId="77777777" w:rsidR="00013C93" w:rsidRDefault="00013C93" w:rsidP="00852D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AACD56" w14:textId="77777777" w:rsidR="00013C93" w:rsidRPr="00BF1DFA" w:rsidRDefault="00013C93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B943EA0" w14:textId="77777777" w:rsidR="00013C93" w:rsidRPr="007D1147" w:rsidRDefault="00013C93" w:rsidP="00852D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13C93" w:rsidRPr="00D752C9" w14:paraId="069E2CD9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ABE6" w14:textId="77777777" w:rsidR="00013C93" w:rsidRPr="00BF1DFA" w:rsidRDefault="00013C93" w:rsidP="001B38D6">
            <w:pPr>
              <w:numPr>
                <w:ilvl w:val="0"/>
                <w:numId w:val="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6934" w14:textId="77777777" w:rsidR="00013C93" w:rsidRPr="00D752C9" w:rsidRDefault="00013C93" w:rsidP="00852D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D9B0C8" w14:textId="77777777" w:rsidR="00013C93" w:rsidRPr="00BC25ED" w:rsidRDefault="00013C93" w:rsidP="00852D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FA7AC" w14:textId="77777777" w:rsidR="00013C93" w:rsidRPr="00BF1DFA" w:rsidRDefault="00013C93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04D9D" w14:textId="4DCD1BE4" w:rsidR="00013C93" w:rsidRPr="00D752C9" w:rsidRDefault="00013C93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 w:rsidR="00C876B7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013C93" w:rsidRPr="00BF1DFA" w14:paraId="784E0AEC" w14:textId="77777777" w:rsidTr="00852D7F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25C5" w14:textId="77777777" w:rsidR="00013C93" w:rsidRPr="00BF1DFA" w:rsidRDefault="00013C93" w:rsidP="001B38D6">
            <w:pPr>
              <w:numPr>
                <w:ilvl w:val="0"/>
                <w:numId w:val="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F0F4" w14:textId="77777777" w:rsidR="00013C93" w:rsidRPr="00D752C9" w:rsidRDefault="00013C93" w:rsidP="00852D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ACC14C" w14:textId="77777777" w:rsidR="00013C93" w:rsidRPr="00BC25ED" w:rsidRDefault="00013C93" w:rsidP="00852D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02F70" w14:textId="77777777" w:rsidR="00013C93" w:rsidRPr="00BF1DFA" w:rsidRDefault="00013C93" w:rsidP="00852D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A8C9AF" w14:textId="77777777" w:rsidR="00013C93" w:rsidRPr="00BF1DFA" w:rsidRDefault="00013C93" w:rsidP="00852D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4ED92530" w14:textId="77777777" w:rsidR="00013C93" w:rsidRPr="00BA6330" w:rsidRDefault="00013C93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sectPr w:rsidR="00013C93" w:rsidRP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3" w15:restartNumberingAfterBreak="0">
    <w:nsid w:val="03DC42F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11FAB"/>
    <w:multiLevelType w:val="hybridMultilevel"/>
    <w:tmpl w:val="546E8D6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97BA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540F9"/>
    <w:multiLevelType w:val="hybridMultilevel"/>
    <w:tmpl w:val="C0ECC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041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1B2"/>
    <w:multiLevelType w:val="hybridMultilevel"/>
    <w:tmpl w:val="D4C65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47BB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260D9"/>
    <w:multiLevelType w:val="hybridMultilevel"/>
    <w:tmpl w:val="3E6C1890"/>
    <w:lvl w:ilvl="0" w:tplc="70F296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8B36307"/>
    <w:multiLevelType w:val="hybridMultilevel"/>
    <w:tmpl w:val="61F8C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75A9B"/>
    <w:multiLevelType w:val="hybridMultilevel"/>
    <w:tmpl w:val="9FEED834"/>
    <w:lvl w:ilvl="0" w:tplc="F7400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821AD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6663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00F7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6651">
    <w:abstractNumId w:val="13"/>
  </w:num>
  <w:num w:numId="2" w16cid:durableId="1706442393">
    <w:abstractNumId w:val="11"/>
  </w:num>
  <w:num w:numId="3" w16cid:durableId="1396707115">
    <w:abstractNumId w:val="10"/>
  </w:num>
  <w:num w:numId="4" w16cid:durableId="1600411427">
    <w:abstractNumId w:val="12"/>
  </w:num>
  <w:num w:numId="5" w16cid:durableId="533035026">
    <w:abstractNumId w:val="7"/>
  </w:num>
  <w:num w:numId="6" w16cid:durableId="1009716077">
    <w:abstractNumId w:val="15"/>
  </w:num>
  <w:num w:numId="7" w16cid:durableId="1958098601">
    <w:abstractNumId w:val="18"/>
  </w:num>
  <w:num w:numId="8" w16cid:durableId="591817584">
    <w:abstractNumId w:val="14"/>
  </w:num>
  <w:num w:numId="9" w16cid:durableId="1469202419">
    <w:abstractNumId w:val="6"/>
  </w:num>
  <w:num w:numId="10" w16cid:durableId="2129541405">
    <w:abstractNumId w:val="3"/>
  </w:num>
  <w:num w:numId="11" w16cid:durableId="1457875042">
    <w:abstractNumId w:val="17"/>
  </w:num>
  <w:num w:numId="12" w16cid:durableId="216431291">
    <w:abstractNumId w:val="4"/>
  </w:num>
  <w:num w:numId="13" w16cid:durableId="1284001559">
    <w:abstractNumId w:val="5"/>
  </w:num>
  <w:num w:numId="14" w16cid:durableId="605121466">
    <w:abstractNumId w:val="16"/>
  </w:num>
  <w:num w:numId="15" w16cid:durableId="2093577854">
    <w:abstractNumId w:val="8"/>
  </w:num>
  <w:num w:numId="16" w16cid:durableId="58144987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13C93"/>
    <w:rsid w:val="00090E6B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912C4"/>
    <w:rsid w:val="00193DA1"/>
    <w:rsid w:val="001B1DF4"/>
    <w:rsid w:val="001B38D6"/>
    <w:rsid w:val="001C3924"/>
    <w:rsid w:val="001C677F"/>
    <w:rsid w:val="001E0691"/>
    <w:rsid w:val="001E27A0"/>
    <w:rsid w:val="001F6993"/>
    <w:rsid w:val="00225718"/>
    <w:rsid w:val="002678E2"/>
    <w:rsid w:val="002970F2"/>
    <w:rsid w:val="002A3581"/>
    <w:rsid w:val="002A632E"/>
    <w:rsid w:val="002B02D1"/>
    <w:rsid w:val="002D3A35"/>
    <w:rsid w:val="002D48E0"/>
    <w:rsid w:val="00342E18"/>
    <w:rsid w:val="00366796"/>
    <w:rsid w:val="0036727F"/>
    <w:rsid w:val="003C0A89"/>
    <w:rsid w:val="003D5D8F"/>
    <w:rsid w:val="003E2FC2"/>
    <w:rsid w:val="00434542"/>
    <w:rsid w:val="0045402B"/>
    <w:rsid w:val="004734A2"/>
    <w:rsid w:val="004871C4"/>
    <w:rsid w:val="004A305C"/>
    <w:rsid w:val="004D39B7"/>
    <w:rsid w:val="004D47EB"/>
    <w:rsid w:val="004E6DCF"/>
    <w:rsid w:val="004F09A0"/>
    <w:rsid w:val="0052641D"/>
    <w:rsid w:val="005A2C1C"/>
    <w:rsid w:val="005C203A"/>
    <w:rsid w:val="005D229C"/>
    <w:rsid w:val="005D2E85"/>
    <w:rsid w:val="005D3AAC"/>
    <w:rsid w:val="005F28C3"/>
    <w:rsid w:val="005F793B"/>
    <w:rsid w:val="00601A51"/>
    <w:rsid w:val="006075CE"/>
    <w:rsid w:val="00615B22"/>
    <w:rsid w:val="00640D4E"/>
    <w:rsid w:val="00663FB2"/>
    <w:rsid w:val="006A06B2"/>
    <w:rsid w:val="006A495F"/>
    <w:rsid w:val="006A5E14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A5DC2"/>
    <w:rsid w:val="007D3C6B"/>
    <w:rsid w:val="007E0A26"/>
    <w:rsid w:val="007E1232"/>
    <w:rsid w:val="007F3B60"/>
    <w:rsid w:val="008172C5"/>
    <w:rsid w:val="00892216"/>
    <w:rsid w:val="008E170E"/>
    <w:rsid w:val="008F32D0"/>
    <w:rsid w:val="00912FDA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B0551"/>
    <w:rsid w:val="00AB4C7D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BF40E6"/>
    <w:rsid w:val="00C16A67"/>
    <w:rsid w:val="00C34944"/>
    <w:rsid w:val="00C638D0"/>
    <w:rsid w:val="00C8072B"/>
    <w:rsid w:val="00C850BA"/>
    <w:rsid w:val="00C876B7"/>
    <w:rsid w:val="00CE6112"/>
    <w:rsid w:val="00D01D83"/>
    <w:rsid w:val="00D07E99"/>
    <w:rsid w:val="00D25A7B"/>
    <w:rsid w:val="00D324C4"/>
    <w:rsid w:val="00D43547"/>
    <w:rsid w:val="00D72161"/>
    <w:rsid w:val="00D73AF3"/>
    <w:rsid w:val="00D752C9"/>
    <w:rsid w:val="00D92112"/>
    <w:rsid w:val="00DE59AD"/>
    <w:rsid w:val="00E0778D"/>
    <w:rsid w:val="00E13E5F"/>
    <w:rsid w:val="00E17751"/>
    <w:rsid w:val="00E20D04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  <w:rsid w:val="00FE4413"/>
    <w:rsid w:val="00FF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qFormat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2181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22</cp:revision>
  <cp:lastPrinted>2026-01-09T07:46:00Z</cp:lastPrinted>
  <dcterms:created xsi:type="dcterms:W3CDTF">2025-12-14T19:41:00Z</dcterms:created>
  <dcterms:modified xsi:type="dcterms:W3CDTF">2026-04-29T10:31:00Z</dcterms:modified>
</cp:coreProperties>
</file>